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2E" w:rsidRDefault="00B6132E" w:rsidP="002F3AE3">
      <w:bookmarkStart w:id="0" w:name="_GoBack"/>
      <w:bookmarkEnd w:id="0"/>
    </w:p>
    <w:p w:rsidR="00B6132E" w:rsidRDefault="00B6132E" w:rsidP="00B6132E">
      <w:pPr>
        <w:pStyle w:val="Heading1"/>
      </w:pPr>
      <w:r>
        <w:t xml:space="preserve">Restriction </w:t>
      </w:r>
      <w:r w:rsidR="006C4C3F">
        <w:t xml:space="preserve">Codes </w:t>
      </w:r>
      <w:r>
        <w:t>and Treatment-Of Codes</w:t>
      </w:r>
    </w:p>
    <w:p w:rsidR="00B6132E" w:rsidRDefault="00B6132E" w:rsidP="002F3AE3"/>
    <w:p w:rsidR="00003743" w:rsidRDefault="00C03D76" w:rsidP="002F3AE3">
      <w:r>
        <w:t xml:space="preserve"> Codes are</w:t>
      </w:r>
      <w:r w:rsidR="00BE0BF5">
        <w:t xml:space="preserve"> used to identify restrictions in the v3 PBS XML.</w:t>
      </w:r>
    </w:p>
    <w:p w:rsidR="00C03D76" w:rsidRDefault="00C03D76" w:rsidP="002F3AE3">
      <w:r>
        <w:t xml:space="preserve">Since the implementation of PBS XML V3, PBS Restrictions have two distinct codes: the ‘Treatment-Of Code’ and the </w:t>
      </w:r>
      <w:r w:rsidR="002A7886">
        <w:t>‘Restriction</w:t>
      </w:r>
      <w:r>
        <w:t xml:space="preserve"> Code’. </w:t>
      </w:r>
      <w:r w:rsidR="00BE0BF5">
        <w:t xml:space="preserve"> The ‘Treatment-Of  Code’ is used for the ‘Streamlined Authority Code’.</w:t>
      </w:r>
    </w:p>
    <w:p w:rsidR="00C03D76" w:rsidRDefault="00C03D76" w:rsidP="002F3AE3">
      <w:r>
        <w:t xml:space="preserve">Most Restrictions will have the same value for </w:t>
      </w:r>
      <w:r w:rsidR="00075BD1">
        <w:t>these. One</w:t>
      </w:r>
      <w:r w:rsidR="00BE0BF5">
        <w:t xml:space="preserve"> or both of these codes will</w:t>
      </w:r>
      <w:r>
        <w:t xml:space="preserve"> change when the restriction has a significant change. </w:t>
      </w:r>
      <w:r w:rsidR="00BE0BF5">
        <w:t>I</w:t>
      </w:r>
      <w:r>
        <w:t>f there is a change that only affects a Restriction</w:t>
      </w:r>
      <w:r w:rsidR="00BE0BF5">
        <w:t>’</w:t>
      </w:r>
      <w:r>
        <w:t>s ‘informational text’ then only the Restriction Code will change and the Treatment-Of Code will remain the same.</w:t>
      </w:r>
      <w:r w:rsidR="00BE0BF5">
        <w:t xml:space="preserve"> If there is a change that affects the ‘legal text’ of the restriction then both codes will change.</w:t>
      </w:r>
    </w:p>
    <w:p w:rsidR="00C03D76" w:rsidRDefault="00BE0BF5" w:rsidP="002F3AE3">
      <w:r>
        <w:t>The legacy V2 PBS XML only has a single code for each restriction. This is equivalent to the ‘Treatment-Of Code’. The down-conversion process copies the ‘Treatment Of Code’ into the restriction for the V2.x PBS XML. This code is therefore also used for the text extracts.</w:t>
      </w:r>
    </w:p>
    <w:p w:rsidR="00C03D76" w:rsidRDefault="00C03D76" w:rsidP="002F3AE3">
      <w:r>
        <w:t xml:space="preserve">The V3 PBS XML will contain both Treatment-Of Codes and Restriction Codes. The restriction-reference under a benefit will list the Restriction Code, while the matching Restriction under the prescribing-texts-list will list both codes. These both appear as “code” elements and are distinguished by their </w:t>
      </w:r>
      <w:r w:rsidRPr="00876298">
        <w:rPr>
          <w:color w:val="C0504D" w:themeColor="accent2"/>
        </w:rPr>
        <w:t xml:space="preserve">rdf:resource </w:t>
      </w:r>
      <w:r w:rsidR="002A7886">
        <w:t>attribute</w:t>
      </w:r>
      <w:r>
        <w:t xml:space="preserve">. </w:t>
      </w:r>
    </w:p>
    <w:p w:rsidR="00C03D76" w:rsidRDefault="00C03D76" w:rsidP="002F3AE3">
      <w:r>
        <w:t xml:space="preserve">In V2 Down-converted XML the Treatment-Of Code will appear as just a ‘code’ element under the restriction, and there is no </w:t>
      </w:r>
      <w:r w:rsidRPr="00876298">
        <w:rPr>
          <w:color w:val="C0504D" w:themeColor="accent2"/>
        </w:rPr>
        <w:t xml:space="preserve">rdf:resource </w:t>
      </w:r>
      <w:r w:rsidR="002A7886">
        <w:t>attribute</w:t>
      </w:r>
      <w:r>
        <w:t>.</w:t>
      </w:r>
    </w:p>
    <w:p w:rsidR="00C03D76" w:rsidRDefault="00C03D76" w:rsidP="002F3AE3">
      <w:r>
        <w:t>Below are some examples from the second release 2018 February 1</w:t>
      </w:r>
      <w:r w:rsidRPr="00C03D76">
        <w:rPr>
          <w:vertAlign w:val="superscript"/>
        </w:rPr>
        <w:t>st</w:t>
      </w:r>
      <w:r>
        <w:t xml:space="preserve"> PBS.</w:t>
      </w:r>
    </w:p>
    <w:p w:rsidR="00C03D76" w:rsidRDefault="00C03D76" w:rsidP="00C03D76">
      <w:pPr>
        <w:ind w:left="720"/>
      </w:pPr>
      <w:r>
        <w:t>Example of a restriction-reference under a benefit-type in the V3 PBS XML file:</w:t>
      </w:r>
    </w:p>
    <w:p w:rsidR="00C03D76" w:rsidRDefault="00C03D76" w:rsidP="00C03D7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&lt;restriction-reference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xlink:href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"#a542534"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&lt;code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rdf:resource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"http://pbs.gov.au/code/restriction"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7166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&lt;/code&gt;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&lt;effective&gt;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&lt;date&gt;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2017-12-01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&lt;/date&gt;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&lt;/effective&gt;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&lt;/restriction-reference&gt;</w:t>
      </w:r>
    </w:p>
    <w:p w:rsidR="00C03D76" w:rsidRDefault="00C03D76" w:rsidP="00C03D76">
      <w:pPr>
        <w:ind w:left="720"/>
      </w:pPr>
    </w:p>
    <w:p w:rsidR="00C03D76" w:rsidRDefault="00C03D76" w:rsidP="00C03D76">
      <w:pPr>
        <w:ind w:left="720"/>
      </w:pPr>
      <w:r>
        <w:t>Example of the restriction in the Prescribing-Texts-List in the V3 PBS XML file:</w:t>
      </w:r>
    </w:p>
    <w:p w:rsidR="00C03D76" w:rsidRDefault="00C03D76" w:rsidP="00C03D7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&lt;restriction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xml:id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"a542534"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&lt;code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rdf:resource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"http://pbs.gov.au/code/restriction"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7166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&lt;/code&gt;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&lt;code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rdf:resource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"http://pbs.gov.au/code/treatment-of"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5856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&lt;/code&gt;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&lt;assessment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rdf:resource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"http://pbs.gov.au/assessment/immediate"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&lt;code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rdf:resource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"http://pbs.gov.au/assessment"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immediate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&lt;/code&gt;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&lt;effective&gt;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lastRenderedPageBreak/>
        <w:t>&lt;date&gt;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2017-12-01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&lt;/date&gt;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&lt;/effective&gt;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&lt;/assessment&gt;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&lt;indication-reference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xlink:href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"#a35372"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&lt;code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rdf:resource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"http://pbs.gov.au/code/prescribing-text"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8771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&lt;/code&gt;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&lt;effective&gt;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&lt;date&gt;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2017-12-01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&lt;/date&gt;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&lt;/effective&gt;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&lt;/indication-reference&gt;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&lt;administrative-advice-reference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xlink:href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"#a14323"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&lt;code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rdf:resource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"http://pbs.gov.au/code/prescribing-text"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7901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&lt;/code&gt;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&lt;effective&gt;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&lt;date&gt;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2017-12-01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&lt;/date&gt;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&lt;/effective&gt;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&lt;/administrative-advice-reference&gt;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&lt;effective&gt;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&lt;date&gt;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2017-12-01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&lt;/date&gt;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&lt;/effective&gt;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&lt;/restriction&gt;</w:t>
      </w:r>
    </w:p>
    <w:p w:rsidR="00C03D76" w:rsidRDefault="00C03D76" w:rsidP="00C03D76">
      <w:pPr>
        <w:ind w:left="720"/>
      </w:pPr>
    </w:p>
    <w:p w:rsidR="00C03D76" w:rsidRDefault="00C03D76" w:rsidP="00C03D76">
      <w:pPr>
        <w:ind w:left="720"/>
      </w:pPr>
      <w:r>
        <w:t>Example in V2 Down-convert</w:t>
      </w:r>
    </w:p>
    <w:p w:rsidR="00C03D76" w:rsidRDefault="00C03D76" w:rsidP="00C03D7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&lt;rwt:restriction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xml:id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"rstrXd4e160613"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&lt;pbs:code&gt;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5856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&lt;/pbs:code&gt;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&lt;rwt:indication-reference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xlink:href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"#a35372"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/&gt;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&lt;rwt:circumstance-reference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xlink:href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"#rstrXd4e160613XincrXqty"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/&gt;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&lt;rwt:circumstance-reference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xlink:href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"#rstrXd4e160613XincrXrpt"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/&gt;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&lt;rwt:circumstance-reference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xlink:href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"#rstrXd4e160613Xcirc"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/&gt;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&lt;rwt:administrative-advice-reference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xlink:href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"#a14323"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xml:id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"urstrXd4e160613X7901"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/&gt;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&lt;rwt:administrative-advice-reference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xlink:href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"#a25185"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xml:id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"urstrXd4e160613X9217"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/&gt;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&lt;rwt:alternate-text&gt;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   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&lt;dbk:para&gt;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Schizophrenia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&lt;/dbk:para&gt;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   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&lt;dbk:note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role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"rwt:administrative-advice#9217"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      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&lt;dbk:para&gt;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Pharmaceutical benefits that have the form olanzapine tablet 2.5 mg and pharmaceutical benefits that have the form olanzapine tablet 2.5 mg (as benzoate) are equivalent for the purposes of substitution.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&lt;/dbk:para&gt;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   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&lt;/dbk:note&gt;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   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&lt;dbk:note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role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"rwt:administrative-advice#7901"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      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&lt;dbk:para&gt;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         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&lt;dbk:emphasis</w:t>
      </w:r>
      <w:r>
        <w:rPr>
          <w:rFonts w:ascii="Times New Roman" w:hAnsi="Times New Roman" w:cs="Times New Roman"/>
          <w:color w:val="F5844C"/>
          <w:sz w:val="24"/>
          <w:szCs w:val="24"/>
          <w:highlight w:val="white"/>
        </w:rPr>
        <w:t xml:space="preserve"> role</w:t>
      </w:r>
      <w:r>
        <w:rPr>
          <w:rFonts w:ascii="Times New Roman" w:hAnsi="Times New Roman" w:cs="Times New Roman"/>
          <w:color w:val="FF804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993300"/>
          <w:sz w:val="24"/>
          <w:szCs w:val="24"/>
          <w:highlight w:val="white"/>
        </w:rPr>
        <w:t>"strong"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Shared Care Model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&lt;/dbk:emphasis&gt;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: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&lt;/dbk:para&gt;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      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&lt;dbk:para&gt;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For prescribing by nurse practitioners where care of a patient is shared between a nurse practitioner and medical practitioner in a formalised arrangement with an agreed management plan. Further information can be found in the Explanatory Notes for Nurse Practitioners.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&lt;/dbk:para&gt;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   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&lt;/dbk:note&gt;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         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&lt;/rwt:alternate-text&gt;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</w:t>
      </w: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&lt;/rwt:restriction&gt;</w:t>
      </w:r>
    </w:p>
    <w:p w:rsidR="00C03D76" w:rsidRDefault="00C03D76" w:rsidP="002F3AE3"/>
    <w:p w:rsidR="00C03D76" w:rsidRDefault="00C03D76" w:rsidP="00C03D76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t xml:space="preserve">Example of an Xpath query to return a restriction’s Treatment-Of Code from a V3 PBS XML file given the Restriction Code would be: </w:t>
      </w:r>
    </w:p>
    <w:p w:rsidR="00C03D76" w:rsidRDefault="00C03D76" w:rsidP="00C03D7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E6"/>
          <w:sz w:val="24"/>
          <w:szCs w:val="24"/>
          <w:highlight w:val="white"/>
        </w:rPr>
        <w:t>root</w:t>
      </w:r>
      <w:r>
        <w:rPr>
          <w:rFonts w:ascii="Times New Roman" w:hAnsi="Times New Roman" w:cs="Times New Roman"/>
          <w:color w:val="787800"/>
          <w:sz w:val="24"/>
          <w:szCs w:val="24"/>
          <w:highlight w:val="white"/>
        </w:rPr>
        <w:t>/</w:t>
      </w:r>
      <w:r>
        <w:rPr>
          <w:rFonts w:ascii="Times New Roman" w:hAnsi="Times New Roman" w:cs="Times New Roman"/>
          <w:b/>
          <w:bCs/>
          <w:color w:val="0000E6"/>
          <w:sz w:val="24"/>
          <w:szCs w:val="24"/>
          <w:highlight w:val="white"/>
        </w:rPr>
        <w:t>prescribing-texts-list</w:t>
      </w:r>
      <w:r>
        <w:rPr>
          <w:rFonts w:ascii="Times New Roman" w:hAnsi="Times New Roman" w:cs="Times New Roman"/>
          <w:color w:val="787800"/>
          <w:sz w:val="24"/>
          <w:szCs w:val="24"/>
          <w:highlight w:val="white"/>
        </w:rPr>
        <w:t>/</w:t>
      </w:r>
      <w:r>
        <w:rPr>
          <w:rFonts w:ascii="Times New Roman" w:hAnsi="Times New Roman" w:cs="Times New Roman"/>
          <w:b/>
          <w:bCs/>
          <w:color w:val="0000E6"/>
          <w:sz w:val="24"/>
          <w:szCs w:val="24"/>
          <w:highlight w:val="white"/>
        </w:rPr>
        <w:t>restriction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[</w:t>
      </w:r>
      <w:r>
        <w:rPr>
          <w:rFonts w:ascii="Times New Roman" w:hAnsi="Times New Roman" w:cs="Times New Roman"/>
          <w:b/>
          <w:bCs/>
          <w:color w:val="0000E6"/>
          <w:sz w:val="24"/>
          <w:szCs w:val="24"/>
          <w:highlight w:val="white"/>
        </w:rPr>
        <w:t>code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[</w:t>
      </w:r>
      <w:r>
        <w:rPr>
          <w:rFonts w:ascii="Times New Roman" w:hAnsi="Times New Roman" w:cs="Times New Roman"/>
          <w:b/>
          <w:bCs/>
          <w:i/>
          <w:iCs/>
          <w:color w:val="F08246"/>
          <w:sz w:val="24"/>
          <w:szCs w:val="24"/>
          <w:highlight w:val="white"/>
        </w:rPr>
        <w:t>@rdf:resource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78780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323296"/>
          <w:sz w:val="24"/>
          <w:szCs w:val="24"/>
          <w:highlight w:val="white"/>
        </w:rPr>
        <w:t>'http://pbs.gov.au/code/restriction'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] </w:t>
      </w:r>
      <w:r>
        <w:rPr>
          <w:rFonts w:ascii="Times New Roman" w:hAnsi="Times New Roman" w:cs="Times New Roman"/>
          <w:color w:val="78780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323296"/>
          <w:sz w:val="24"/>
          <w:szCs w:val="24"/>
          <w:highlight w:val="white"/>
        </w:rPr>
        <w:t>'XXXX'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]</w:t>
      </w:r>
      <w:r>
        <w:rPr>
          <w:rFonts w:ascii="Times New Roman" w:hAnsi="Times New Roman" w:cs="Times New Roman"/>
          <w:color w:val="787800"/>
          <w:sz w:val="24"/>
          <w:szCs w:val="24"/>
          <w:highlight w:val="white"/>
        </w:rPr>
        <w:t>/</w:t>
      </w:r>
      <w:r>
        <w:rPr>
          <w:rFonts w:ascii="Times New Roman" w:hAnsi="Times New Roman" w:cs="Times New Roman"/>
          <w:b/>
          <w:bCs/>
          <w:color w:val="0000E6"/>
          <w:sz w:val="24"/>
          <w:szCs w:val="24"/>
          <w:highlight w:val="white"/>
        </w:rPr>
        <w:t>code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[</w:t>
      </w:r>
      <w:r>
        <w:rPr>
          <w:rFonts w:ascii="Times New Roman" w:hAnsi="Times New Roman" w:cs="Times New Roman"/>
          <w:b/>
          <w:bCs/>
          <w:i/>
          <w:iCs/>
          <w:color w:val="F08246"/>
          <w:sz w:val="24"/>
          <w:szCs w:val="24"/>
          <w:highlight w:val="white"/>
        </w:rPr>
        <w:t>@rdf:resource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787800"/>
          <w:sz w:val="24"/>
          <w:szCs w:val="24"/>
          <w:highlight w:val="white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323296"/>
          <w:sz w:val="24"/>
          <w:szCs w:val="24"/>
          <w:highlight w:val="white"/>
        </w:rPr>
        <w:t>'http://pbs.gov.au/code/treatment-of'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]</w:t>
      </w:r>
    </w:p>
    <w:p w:rsidR="00C03D76" w:rsidRPr="002F3AE3" w:rsidRDefault="00C03D76" w:rsidP="002F3AE3"/>
    <w:sectPr w:rsidR="00C03D76" w:rsidRPr="002F3A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76"/>
    <w:rsid w:val="00003743"/>
    <w:rsid w:val="00067456"/>
    <w:rsid w:val="00075BD1"/>
    <w:rsid w:val="0011486C"/>
    <w:rsid w:val="001B3443"/>
    <w:rsid w:val="002A7886"/>
    <w:rsid w:val="002F3AE3"/>
    <w:rsid w:val="0030786C"/>
    <w:rsid w:val="003D17F9"/>
    <w:rsid w:val="004867E2"/>
    <w:rsid w:val="006C4C3F"/>
    <w:rsid w:val="006C6343"/>
    <w:rsid w:val="007500A5"/>
    <w:rsid w:val="008264EB"/>
    <w:rsid w:val="00876298"/>
    <w:rsid w:val="009340E1"/>
    <w:rsid w:val="00A4512D"/>
    <w:rsid w:val="00A705AF"/>
    <w:rsid w:val="00B42851"/>
    <w:rsid w:val="00B6132E"/>
    <w:rsid w:val="00BE0BF5"/>
    <w:rsid w:val="00C03D76"/>
    <w:rsid w:val="00CB5B1A"/>
    <w:rsid w:val="00EB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510"/>
  </w:style>
  <w:style w:type="paragraph" w:styleId="Heading1">
    <w:name w:val="heading 1"/>
    <w:basedOn w:val="Normal"/>
    <w:next w:val="Normal"/>
    <w:link w:val="Heading1Char"/>
    <w:uiPriority w:val="9"/>
    <w:qFormat/>
    <w:rsid w:val="00EB6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5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65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65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65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B6510"/>
    <w:rPr>
      <w:i/>
      <w:iCs/>
    </w:rPr>
  </w:style>
  <w:style w:type="character" w:styleId="Strong">
    <w:name w:val="Strong"/>
    <w:basedOn w:val="DefaultParagraphFont"/>
    <w:uiPriority w:val="22"/>
    <w:qFormat/>
    <w:rsid w:val="00EB6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65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B65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65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EB6510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B651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B6510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EB651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B651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1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B651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B651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B6510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B65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65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5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B65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B65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B65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65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6510"/>
    <w:pPr>
      <w:outlineLvl w:val="9"/>
    </w:pPr>
  </w:style>
  <w:style w:type="paragraph" w:styleId="BalloonText">
    <w:name w:val="Balloon Text"/>
    <w:basedOn w:val="Normal"/>
    <w:link w:val="BalloonTextChar"/>
    <w:rsid w:val="0075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0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510"/>
  </w:style>
  <w:style w:type="paragraph" w:styleId="Heading1">
    <w:name w:val="heading 1"/>
    <w:basedOn w:val="Normal"/>
    <w:next w:val="Normal"/>
    <w:link w:val="Heading1Char"/>
    <w:uiPriority w:val="9"/>
    <w:qFormat/>
    <w:rsid w:val="00EB6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5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65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65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65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B6510"/>
    <w:rPr>
      <w:i/>
      <w:iCs/>
    </w:rPr>
  </w:style>
  <w:style w:type="character" w:styleId="Strong">
    <w:name w:val="Strong"/>
    <w:basedOn w:val="DefaultParagraphFont"/>
    <w:uiPriority w:val="22"/>
    <w:qFormat/>
    <w:rsid w:val="00EB6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65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B65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65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EB6510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B651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B6510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EB651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B651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1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B651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B651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B6510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B65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65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5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B65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B65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B65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65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6510"/>
    <w:pPr>
      <w:outlineLvl w:val="9"/>
    </w:pPr>
  </w:style>
  <w:style w:type="paragraph" w:styleId="BalloonText">
    <w:name w:val="Balloon Text"/>
    <w:basedOn w:val="Normal"/>
    <w:link w:val="BalloonTextChar"/>
    <w:rsid w:val="0075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0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2018-03-05T02:22:00Z</dcterms:created>
  <dcterms:modified xsi:type="dcterms:W3CDTF">2018-03-05T02:22:00Z</dcterms:modified>
</cp:coreProperties>
</file>